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C6BA5" w:rsidRDefault="00BC6BA5">
      <w:pPr>
        <w:jc w:val="right"/>
        <w:rPr>
          <w:sz w:val="20"/>
          <w:szCs w:val="20"/>
        </w:rPr>
      </w:pPr>
      <w:bookmarkStart w:id="0" w:name="_MacBuGuideStaticData_10170V"/>
      <w:bookmarkStart w:id="1" w:name="_GoBack"/>
      <w:bookmarkEnd w:id="1"/>
    </w:p>
    <w:p w:rsidR="00126ACA" w:rsidRPr="00126ACA" w:rsidRDefault="00126ACA" w:rsidP="00126ACA">
      <w:pPr>
        <w:spacing w:before="120"/>
        <w:jc w:val="center"/>
        <w:rPr>
          <w:b/>
          <w:sz w:val="24"/>
        </w:rPr>
      </w:pPr>
      <w:r w:rsidRPr="00126ACA">
        <w:rPr>
          <w:b/>
          <w:sz w:val="24"/>
        </w:rPr>
        <w:t>PRESS ANNOUNCEMENT</w:t>
      </w:r>
    </w:p>
    <w:p w:rsidR="009E103C" w:rsidRPr="0030485F" w:rsidRDefault="009E103C" w:rsidP="00C46A02">
      <w:pPr>
        <w:spacing w:before="120"/>
        <w:jc w:val="right"/>
        <w:rPr>
          <w:sz w:val="20"/>
          <w:szCs w:val="20"/>
        </w:rPr>
      </w:pPr>
      <w:r>
        <w:rPr>
          <w:sz w:val="20"/>
          <w:szCs w:val="20"/>
        </w:rPr>
        <w:t xml:space="preserve">FOR </w:t>
      </w:r>
      <w:r w:rsidRPr="0030485F">
        <w:rPr>
          <w:sz w:val="20"/>
          <w:szCs w:val="20"/>
        </w:rPr>
        <w:t>IMMEDIATE PUBLICATION</w:t>
      </w:r>
    </w:p>
    <w:p w:rsidR="00621FE6" w:rsidRPr="0030485F" w:rsidRDefault="00A83E91">
      <w:pPr>
        <w:jc w:val="right"/>
        <w:rPr>
          <w:sz w:val="20"/>
          <w:szCs w:val="20"/>
        </w:rPr>
      </w:pPr>
      <w:r>
        <w:rPr>
          <w:sz w:val="20"/>
          <w:szCs w:val="20"/>
        </w:rPr>
        <w:t xml:space="preserve">5 </w:t>
      </w:r>
      <w:r w:rsidR="006E0C2C">
        <w:rPr>
          <w:sz w:val="20"/>
          <w:szCs w:val="20"/>
        </w:rPr>
        <w:t>November</w:t>
      </w:r>
      <w:r w:rsidR="00222BBE" w:rsidRPr="0030485F">
        <w:rPr>
          <w:sz w:val="20"/>
          <w:szCs w:val="20"/>
        </w:rPr>
        <w:t xml:space="preserve"> 2015</w:t>
      </w:r>
    </w:p>
    <w:p w:rsidR="003E1498" w:rsidRPr="00065661" w:rsidRDefault="003E1498">
      <w:pPr>
        <w:jc w:val="right"/>
        <w:rPr>
          <w:sz w:val="20"/>
          <w:szCs w:val="20"/>
        </w:rPr>
      </w:pPr>
    </w:p>
    <w:bookmarkEnd w:id="0"/>
    <w:p w:rsidR="007F0139" w:rsidRDefault="00D37560" w:rsidP="007F0139">
      <w:pPr>
        <w:jc w:val="center"/>
        <w:rPr>
          <w:b/>
          <w:sz w:val="20"/>
        </w:rPr>
      </w:pPr>
      <w:r>
        <w:rPr>
          <w:b/>
          <w:sz w:val="24"/>
        </w:rPr>
        <w:t>STILL TIME</w:t>
      </w:r>
      <w:r w:rsidR="006E0C2C">
        <w:rPr>
          <w:b/>
          <w:sz w:val="24"/>
        </w:rPr>
        <w:t xml:space="preserve"> TO REGISTER</w:t>
      </w:r>
      <w:r w:rsidR="00313BE5">
        <w:rPr>
          <w:b/>
          <w:sz w:val="24"/>
        </w:rPr>
        <w:t xml:space="preserve"> FOR </w:t>
      </w:r>
      <w:r w:rsidR="00D207D5">
        <w:rPr>
          <w:b/>
          <w:sz w:val="24"/>
        </w:rPr>
        <w:t>MEADFA CONFERENCE 2015</w:t>
      </w:r>
    </w:p>
    <w:p w:rsidR="007F0139" w:rsidRPr="00BE1047" w:rsidRDefault="007F0139" w:rsidP="007F0139">
      <w:pPr>
        <w:jc w:val="both"/>
        <w:rPr>
          <w:szCs w:val="22"/>
        </w:rPr>
      </w:pPr>
    </w:p>
    <w:p w:rsidR="004B618F" w:rsidRPr="00BE1047" w:rsidRDefault="003E05B2" w:rsidP="00FE78B0">
      <w:pPr>
        <w:jc w:val="both"/>
        <w:rPr>
          <w:szCs w:val="22"/>
          <w:shd w:val="clear" w:color="auto" w:fill="FFFFFF"/>
        </w:rPr>
      </w:pPr>
      <w:r>
        <w:rPr>
          <w:szCs w:val="22"/>
        </w:rPr>
        <w:t>Delegate registrations are flooding in for</w:t>
      </w:r>
      <w:r w:rsidR="006E0C2C" w:rsidRPr="00BE1047">
        <w:rPr>
          <w:szCs w:val="22"/>
        </w:rPr>
        <w:t xml:space="preserve"> t</w:t>
      </w:r>
      <w:r w:rsidR="00DD4DDE" w:rsidRPr="00BE1047">
        <w:rPr>
          <w:szCs w:val="22"/>
        </w:rPr>
        <w:t xml:space="preserve">he </w:t>
      </w:r>
      <w:r w:rsidR="006E0C2C" w:rsidRPr="00BE1047">
        <w:rPr>
          <w:szCs w:val="22"/>
          <w:shd w:val="clear" w:color="auto" w:fill="FFFFFF"/>
        </w:rPr>
        <w:t xml:space="preserve">2015 MEADFA Conference (23-24 November), which is managed by TFWA on behalf of the </w:t>
      </w:r>
      <w:r w:rsidR="00DD4DDE" w:rsidRPr="00BE1047">
        <w:rPr>
          <w:szCs w:val="22"/>
        </w:rPr>
        <w:t>Middle East &amp; Africa Duty Free Association</w:t>
      </w:r>
      <w:r w:rsidR="004B618F" w:rsidRPr="00BE1047">
        <w:rPr>
          <w:szCs w:val="22"/>
          <w:shd w:val="clear" w:color="auto" w:fill="FFFFFF"/>
        </w:rPr>
        <w:t>.</w:t>
      </w:r>
    </w:p>
    <w:p w:rsidR="004B618F" w:rsidRPr="00BE1047" w:rsidRDefault="004B618F" w:rsidP="00FE78B0">
      <w:pPr>
        <w:jc w:val="both"/>
        <w:rPr>
          <w:szCs w:val="22"/>
          <w:shd w:val="clear" w:color="auto" w:fill="FFFFFF"/>
        </w:rPr>
      </w:pPr>
    </w:p>
    <w:p w:rsidR="006E0C2C" w:rsidRPr="00BE1047" w:rsidRDefault="006E0C2C" w:rsidP="00FE78B0">
      <w:pPr>
        <w:jc w:val="both"/>
        <w:rPr>
          <w:szCs w:val="22"/>
          <w:shd w:val="clear" w:color="auto" w:fill="FFFFFF"/>
        </w:rPr>
      </w:pPr>
      <w:r w:rsidRPr="00BE1047">
        <w:rPr>
          <w:szCs w:val="22"/>
          <w:shd w:val="clear" w:color="auto" w:fill="FFFFFF"/>
        </w:rPr>
        <w:t>Over thirty of the most influential landlords and travel retail operators in the region have already confirmed their attendance, including Aelia, Aer Rianta, DFS, Dubai Duty Free, Dufry, Egyptair, Etihad Airways, Hamila Duty Free, Jordanian Duty Free Shops, Lagardere Travel Retail, Qatar Airways, Tourvest Inflight Retail and World Duty Free Group.</w:t>
      </w:r>
    </w:p>
    <w:p w:rsidR="006E0C2C" w:rsidRPr="00BE1047" w:rsidRDefault="006E0C2C" w:rsidP="00FE78B0">
      <w:pPr>
        <w:jc w:val="both"/>
        <w:rPr>
          <w:szCs w:val="22"/>
          <w:shd w:val="clear" w:color="auto" w:fill="FFFFFF"/>
        </w:rPr>
      </w:pPr>
    </w:p>
    <w:p w:rsidR="00187DA4" w:rsidRPr="00BE1047" w:rsidRDefault="00187DA4" w:rsidP="00FE78B0">
      <w:pPr>
        <w:jc w:val="both"/>
        <w:rPr>
          <w:szCs w:val="22"/>
          <w:shd w:val="clear" w:color="auto" w:fill="FFFFFF"/>
        </w:rPr>
      </w:pPr>
      <w:r w:rsidRPr="00BE1047">
        <w:rPr>
          <w:szCs w:val="22"/>
          <w:shd w:val="clear" w:color="auto" w:fill="FFFFFF"/>
        </w:rPr>
        <w:t xml:space="preserve">The two-day conference programme combines stimulating debate, informed commercial perspectives and </w:t>
      </w:r>
      <w:r w:rsidR="00BE1047" w:rsidRPr="00BE1047">
        <w:rPr>
          <w:szCs w:val="22"/>
          <w:shd w:val="clear" w:color="auto" w:fill="FFFFFF"/>
        </w:rPr>
        <w:t xml:space="preserve">ample </w:t>
      </w:r>
      <w:r w:rsidRPr="00BE1047">
        <w:rPr>
          <w:szCs w:val="22"/>
          <w:shd w:val="clear" w:color="auto" w:fill="FFFFFF"/>
        </w:rPr>
        <w:t xml:space="preserve">opportunities for networking with colleagues. Full details can be found at </w:t>
      </w:r>
      <w:hyperlink r:id="rId8" w:history="1">
        <w:r w:rsidRPr="00BE1047">
          <w:rPr>
            <w:rStyle w:val="Hyperlink"/>
            <w:color w:val="auto"/>
            <w:szCs w:val="22"/>
            <w:shd w:val="clear" w:color="auto" w:fill="FFFFFF"/>
          </w:rPr>
          <w:t>http://tfwa.com/duty_free/Programme.1251.0.html</w:t>
        </w:r>
      </w:hyperlink>
    </w:p>
    <w:p w:rsidR="00187DA4" w:rsidRPr="00BE1047" w:rsidRDefault="00187DA4" w:rsidP="00FE78B0">
      <w:pPr>
        <w:jc w:val="both"/>
        <w:rPr>
          <w:szCs w:val="22"/>
          <w:shd w:val="clear" w:color="auto" w:fill="FFFFFF"/>
        </w:rPr>
      </w:pPr>
      <w:r w:rsidRPr="00BE1047">
        <w:rPr>
          <w:szCs w:val="22"/>
          <w:shd w:val="clear" w:color="auto" w:fill="FFFFFF"/>
        </w:rPr>
        <w:t xml:space="preserve"> </w:t>
      </w:r>
    </w:p>
    <w:p w:rsidR="00C6046F" w:rsidRPr="00BE1047" w:rsidRDefault="00187DA4" w:rsidP="00FE78B0">
      <w:pPr>
        <w:jc w:val="both"/>
        <w:rPr>
          <w:szCs w:val="22"/>
          <w:shd w:val="clear" w:color="auto" w:fill="FFFFFF"/>
        </w:rPr>
      </w:pPr>
      <w:r w:rsidRPr="00BE1047">
        <w:rPr>
          <w:szCs w:val="22"/>
          <w:shd w:val="clear" w:color="auto" w:fill="FFFFFF"/>
        </w:rPr>
        <w:t xml:space="preserve">In addition, the venue for the MEADFA Conference – the King Hussein Bin Talal Convention Centre </w:t>
      </w:r>
      <w:r w:rsidR="00B53388" w:rsidRPr="00BE1047">
        <w:rPr>
          <w:szCs w:val="22"/>
          <w:shd w:val="clear" w:color="auto" w:fill="FFFFFF"/>
        </w:rPr>
        <w:t>on the shores of</w:t>
      </w:r>
      <w:r w:rsidRPr="00BE1047">
        <w:rPr>
          <w:szCs w:val="22"/>
          <w:shd w:val="clear" w:color="auto" w:fill="FFFFFF"/>
        </w:rPr>
        <w:t xml:space="preserve"> the Dead Sea in Jordan -  is proving a particular attraction</w:t>
      </w:r>
      <w:r w:rsidR="00CD0614">
        <w:rPr>
          <w:szCs w:val="22"/>
          <w:shd w:val="clear" w:color="auto" w:fill="FFFFFF"/>
        </w:rPr>
        <w:t>,</w:t>
      </w:r>
      <w:r w:rsidRPr="00BE1047">
        <w:rPr>
          <w:szCs w:val="22"/>
          <w:shd w:val="clear" w:color="auto" w:fill="FFFFFF"/>
        </w:rPr>
        <w:t xml:space="preserve"> with delegates signing up for sight-seeing tours </w:t>
      </w:r>
      <w:r w:rsidR="00BE1047" w:rsidRPr="00BE1047">
        <w:rPr>
          <w:szCs w:val="22"/>
          <w:shd w:val="clear" w:color="auto" w:fill="FFFFFF"/>
        </w:rPr>
        <w:t xml:space="preserve">of historic landmarks in the vicinity </w:t>
      </w:r>
      <w:r w:rsidR="00B53388" w:rsidRPr="00BE1047">
        <w:rPr>
          <w:szCs w:val="22"/>
          <w:shd w:val="clear" w:color="auto" w:fill="FFFFFF"/>
        </w:rPr>
        <w:t>prior to and after the business proceedings.</w:t>
      </w:r>
    </w:p>
    <w:p w:rsidR="00C6046F" w:rsidRPr="00BE1047" w:rsidRDefault="00C6046F" w:rsidP="00FE78B0">
      <w:pPr>
        <w:jc w:val="both"/>
        <w:rPr>
          <w:szCs w:val="22"/>
          <w:shd w:val="clear" w:color="auto" w:fill="FFFFFF"/>
        </w:rPr>
      </w:pPr>
    </w:p>
    <w:p w:rsidR="00C6046F" w:rsidRPr="00BE1047" w:rsidRDefault="00B53388" w:rsidP="00FE78B0">
      <w:pPr>
        <w:jc w:val="both"/>
        <w:rPr>
          <w:szCs w:val="22"/>
          <w:shd w:val="clear" w:color="auto" w:fill="FFFFFF"/>
        </w:rPr>
      </w:pPr>
      <w:r w:rsidRPr="00BE1047">
        <w:rPr>
          <w:szCs w:val="22"/>
          <w:shd w:val="clear" w:color="auto" w:fill="FFFFFF"/>
        </w:rPr>
        <w:t xml:space="preserve">Special rates have been negotiated </w:t>
      </w:r>
      <w:r w:rsidR="00BE1047" w:rsidRPr="00BE1047">
        <w:rPr>
          <w:szCs w:val="22"/>
          <w:shd w:val="clear" w:color="auto" w:fill="FFFFFF"/>
        </w:rPr>
        <w:t xml:space="preserve">on Royal Jordanian Airlines, the official carrier, and </w:t>
      </w:r>
      <w:r w:rsidRPr="00BE1047">
        <w:rPr>
          <w:szCs w:val="22"/>
          <w:shd w:val="clear" w:color="auto" w:fill="FFFFFF"/>
        </w:rPr>
        <w:t xml:space="preserve">at the official hotels </w:t>
      </w:r>
      <w:r w:rsidR="00BE1047" w:rsidRPr="00BE1047">
        <w:rPr>
          <w:szCs w:val="22"/>
          <w:shd w:val="clear" w:color="auto" w:fill="FFFFFF"/>
        </w:rPr>
        <w:t xml:space="preserve">- </w:t>
      </w:r>
      <w:r w:rsidR="00BE1047" w:rsidRPr="00BE1047">
        <w:rPr>
          <w:szCs w:val="22"/>
          <w:lang w:val="en-US"/>
        </w:rPr>
        <w:t>Jordan Valley Marriott Dead Sea and Mövenpick Dead Sea</w:t>
      </w:r>
      <w:r w:rsidR="00BE1047" w:rsidRPr="00BE1047">
        <w:rPr>
          <w:szCs w:val="22"/>
          <w:shd w:val="clear" w:color="auto" w:fill="FFFFFF"/>
        </w:rPr>
        <w:t>, with</w:t>
      </w:r>
      <w:r w:rsidR="00BE1047" w:rsidRPr="00BE1047">
        <w:rPr>
          <w:szCs w:val="22"/>
          <w:lang w:val="en-US"/>
        </w:rPr>
        <w:t xml:space="preserve"> a free shuttle service to the venue courtesy of the Jordan Tourism Board.</w:t>
      </w:r>
    </w:p>
    <w:p w:rsidR="00B53388" w:rsidRPr="00BE1047" w:rsidRDefault="00B53388" w:rsidP="00FE78B0">
      <w:pPr>
        <w:jc w:val="both"/>
        <w:rPr>
          <w:szCs w:val="22"/>
          <w:shd w:val="clear" w:color="auto" w:fill="FFFFFF"/>
        </w:rPr>
      </w:pPr>
    </w:p>
    <w:p w:rsidR="00C46A02" w:rsidRDefault="00B53388" w:rsidP="0047558E">
      <w:pPr>
        <w:jc w:val="both"/>
        <w:rPr>
          <w:szCs w:val="22"/>
        </w:rPr>
      </w:pPr>
      <w:r w:rsidRPr="00BE1047">
        <w:rPr>
          <w:szCs w:val="22"/>
          <w:shd w:val="clear" w:color="auto" w:fill="FFFFFF"/>
        </w:rPr>
        <w:t xml:space="preserve">Business partners </w:t>
      </w:r>
      <w:r w:rsidR="00BE1047" w:rsidRPr="00BE1047">
        <w:rPr>
          <w:szCs w:val="22"/>
          <w:shd w:val="clear" w:color="auto" w:fill="FFFFFF"/>
        </w:rPr>
        <w:t>have been</w:t>
      </w:r>
      <w:r w:rsidRPr="00BE1047">
        <w:rPr>
          <w:szCs w:val="22"/>
          <w:shd w:val="clear" w:color="auto" w:fill="FFFFFF"/>
        </w:rPr>
        <w:t xml:space="preserve"> enthusiastic in their support of the</w:t>
      </w:r>
      <w:r w:rsidR="00FE78B0" w:rsidRPr="00BE1047">
        <w:rPr>
          <w:szCs w:val="22"/>
          <w:shd w:val="clear" w:color="auto" w:fill="FFFFFF"/>
        </w:rPr>
        <w:t xml:space="preserve"> </w:t>
      </w:r>
      <w:r w:rsidR="0047558E" w:rsidRPr="00BE1047">
        <w:rPr>
          <w:szCs w:val="22"/>
          <w:shd w:val="clear" w:color="auto" w:fill="FFFFFF"/>
        </w:rPr>
        <w:t xml:space="preserve">2015 </w:t>
      </w:r>
      <w:r w:rsidR="00FE78B0" w:rsidRPr="00BE1047">
        <w:rPr>
          <w:szCs w:val="22"/>
          <w:shd w:val="clear" w:color="auto" w:fill="FFFFFF"/>
        </w:rPr>
        <w:t>MEADFA Conference</w:t>
      </w:r>
      <w:r w:rsidRPr="00BE1047">
        <w:rPr>
          <w:szCs w:val="22"/>
          <w:shd w:val="clear" w:color="auto" w:fill="FFFFFF"/>
        </w:rPr>
        <w:t xml:space="preserve">. Key sponsors </w:t>
      </w:r>
      <w:r w:rsidR="0047558E" w:rsidRPr="00BE1047">
        <w:rPr>
          <w:szCs w:val="22"/>
          <w:shd w:val="clear" w:color="auto" w:fill="FFFFFF"/>
        </w:rPr>
        <w:t>are</w:t>
      </w:r>
      <w:r w:rsidR="00FE78B0" w:rsidRPr="00BE1047">
        <w:rPr>
          <w:szCs w:val="22"/>
          <w:shd w:val="clear" w:color="auto" w:fill="FFFFFF"/>
        </w:rPr>
        <w:t xml:space="preserve"> </w:t>
      </w:r>
      <w:r w:rsidRPr="00BE1047">
        <w:rPr>
          <w:szCs w:val="22"/>
        </w:rPr>
        <w:t>World Duty Free Group (</w:t>
      </w:r>
      <w:r w:rsidR="0047558E" w:rsidRPr="00BE1047">
        <w:rPr>
          <w:szCs w:val="22"/>
        </w:rPr>
        <w:t>g</w:t>
      </w:r>
      <w:r w:rsidRPr="00BE1047">
        <w:rPr>
          <w:szCs w:val="22"/>
        </w:rPr>
        <w:t xml:space="preserve">ala </w:t>
      </w:r>
      <w:r w:rsidR="0047558E" w:rsidRPr="00BE1047">
        <w:rPr>
          <w:szCs w:val="22"/>
        </w:rPr>
        <w:t>d</w:t>
      </w:r>
      <w:r w:rsidRPr="00BE1047">
        <w:rPr>
          <w:szCs w:val="22"/>
        </w:rPr>
        <w:t xml:space="preserve">inner </w:t>
      </w:r>
      <w:r w:rsidR="0047558E" w:rsidRPr="00BE1047">
        <w:rPr>
          <w:szCs w:val="22"/>
        </w:rPr>
        <w:t>&amp;</w:t>
      </w:r>
      <w:r w:rsidRPr="00BE1047">
        <w:rPr>
          <w:szCs w:val="22"/>
        </w:rPr>
        <w:t xml:space="preserve"> conference host), </w:t>
      </w:r>
      <w:r w:rsidRPr="00BE1047">
        <w:rPr>
          <w:szCs w:val="22"/>
          <w:lang w:val="en-US"/>
        </w:rPr>
        <w:t>Dufry Sharjah</w:t>
      </w:r>
      <w:r w:rsidRPr="00BE1047">
        <w:rPr>
          <w:szCs w:val="22"/>
          <w:shd w:val="clear" w:color="auto" w:fill="FFFFFF"/>
        </w:rPr>
        <w:t xml:space="preserve"> (</w:t>
      </w:r>
      <w:r w:rsidR="0047558E" w:rsidRPr="00BE1047">
        <w:rPr>
          <w:szCs w:val="22"/>
          <w:shd w:val="clear" w:color="auto" w:fill="FFFFFF"/>
        </w:rPr>
        <w:t>o</w:t>
      </w:r>
      <w:r w:rsidR="00FE78B0" w:rsidRPr="00BE1047">
        <w:rPr>
          <w:szCs w:val="22"/>
          <w:shd w:val="clear" w:color="auto" w:fill="FFFFFF"/>
        </w:rPr>
        <w:t xml:space="preserve">pening </w:t>
      </w:r>
      <w:r w:rsidR="0047558E" w:rsidRPr="00BE1047">
        <w:rPr>
          <w:szCs w:val="22"/>
          <w:shd w:val="clear" w:color="auto" w:fill="FFFFFF"/>
        </w:rPr>
        <w:t>c</w:t>
      </w:r>
      <w:r w:rsidR="00FE78B0" w:rsidRPr="00BE1047">
        <w:rPr>
          <w:szCs w:val="22"/>
          <w:shd w:val="clear" w:color="auto" w:fill="FFFFFF"/>
        </w:rPr>
        <w:t>ocktail</w:t>
      </w:r>
      <w:r w:rsidR="0047558E" w:rsidRPr="00BE1047">
        <w:rPr>
          <w:szCs w:val="22"/>
          <w:shd w:val="clear" w:color="auto" w:fill="FFFFFF"/>
        </w:rPr>
        <w:t xml:space="preserve">); Qatar Duty Free (lunch); </w:t>
      </w:r>
      <w:r w:rsidR="00D1487F" w:rsidRPr="00BE1047">
        <w:rPr>
          <w:szCs w:val="22"/>
        </w:rPr>
        <w:t>p</w:t>
      </w:r>
      <w:r w:rsidR="00C46A02" w:rsidRPr="00BE1047">
        <w:rPr>
          <w:szCs w:val="22"/>
        </w:rPr>
        <w:t>latinum sponsors Aer</w:t>
      </w:r>
      <w:r w:rsidR="00D66C3A" w:rsidRPr="00BE1047">
        <w:rPr>
          <w:szCs w:val="22"/>
        </w:rPr>
        <w:t xml:space="preserve"> </w:t>
      </w:r>
      <w:r w:rsidR="00C46A02" w:rsidRPr="00BE1047">
        <w:rPr>
          <w:szCs w:val="22"/>
        </w:rPr>
        <w:t>Rianta</w:t>
      </w:r>
      <w:r w:rsidR="00D66C3A" w:rsidRPr="00BE1047">
        <w:rPr>
          <w:szCs w:val="22"/>
        </w:rPr>
        <w:t xml:space="preserve"> International</w:t>
      </w:r>
      <w:r w:rsidR="00690604" w:rsidRPr="00BE1047">
        <w:rPr>
          <w:szCs w:val="22"/>
        </w:rPr>
        <w:t xml:space="preserve">, </w:t>
      </w:r>
      <w:r w:rsidR="00C46A02" w:rsidRPr="00BE1047">
        <w:rPr>
          <w:szCs w:val="22"/>
        </w:rPr>
        <w:t>Bahrain Duty Free</w:t>
      </w:r>
      <w:r w:rsidR="0047558E" w:rsidRPr="00BE1047">
        <w:rPr>
          <w:szCs w:val="22"/>
        </w:rPr>
        <w:t>,</w:t>
      </w:r>
      <w:r w:rsidR="00690604" w:rsidRPr="00BE1047">
        <w:rPr>
          <w:szCs w:val="22"/>
        </w:rPr>
        <w:t xml:space="preserve"> Dubai Duty Free</w:t>
      </w:r>
      <w:r w:rsidR="0047558E" w:rsidRPr="00BE1047">
        <w:rPr>
          <w:szCs w:val="22"/>
        </w:rPr>
        <w:t xml:space="preserve"> and Jordan Duty Free Shops</w:t>
      </w:r>
      <w:r w:rsidR="00C46A02" w:rsidRPr="00BE1047">
        <w:rPr>
          <w:szCs w:val="22"/>
        </w:rPr>
        <w:t>; gold sponsor</w:t>
      </w:r>
      <w:r w:rsidR="003F6482" w:rsidRPr="00BE1047">
        <w:rPr>
          <w:szCs w:val="22"/>
        </w:rPr>
        <w:t>s</w:t>
      </w:r>
      <w:r w:rsidR="00C46A02" w:rsidRPr="00BE1047">
        <w:rPr>
          <w:szCs w:val="22"/>
        </w:rPr>
        <w:t xml:space="preserve"> </w:t>
      </w:r>
      <w:r w:rsidR="00690604" w:rsidRPr="00BE1047">
        <w:rPr>
          <w:szCs w:val="22"/>
        </w:rPr>
        <w:t xml:space="preserve">Ferrero, Haribo and </w:t>
      </w:r>
      <w:r w:rsidR="00C46A02" w:rsidRPr="00BE1047">
        <w:rPr>
          <w:szCs w:val="22"/>
        </w:rPr>
        <w:t xml:space="preserve">JTI; silver sponsors </w:t>
      </w:r>
      <w:r w:rsidR="0047558E" w:rsidRPr="00BE1047">
        <w:rPr>
          <w:szCs w:val="22"/>
        </w:rPr>
        <w:t xml:space="preserve">Aphrodite Duty Free Shop, Hersheys, </w:t>
      </w:r>
      <w:r w:rsidR="00C46A02" w:rsidRPr="00BE1047">
        <w:rPr>
          <w:szCs w:val="22"/>
        </w:rPr>
        <w:t>Jordan Tourism Board</w:t>
      </w:r>
      <w:r w:rsidR="0047558E" w:rsidRPr="00BE1047">
        <w:rPr>
          <w:szCs w:val="22"/>
        </w:rPr>
        <w:t>,</w:t>
      </w:r>
      <w:r w:rsidR="00C46A02" w:rsidRPr="00BE1047">
        <w:rPr>
          <w:szCs w:val="22"/>
        </w:rPr>
        <w:t xml:space="preserve"> </w:t>
      </w:r>
      <w:r w:rsidR="0047558E" w:rsidRPr="00BE1047">
        <w:rPr>
          <w:szCs w:val="22"/>
        </w:rPr>
        <w:t>Philip Morris (</w:t>
      </w:r>
      <w:r w:rsidR="00C46A02" w:rsidRPr="00BE1047">
        <w:rPr>
          <w:szCs w:val="22"/>
        </w:rPr>
        <w:t>smoking lounge and exhibi</w:t>
      </w:r>
      <w:r w:rsidR="0047558E" w:rsidRPr="00BE1047">
        <w:rPr>
          <w:szCs w:val="22"/>
        </w:rPr>
        <w:t xml:space="preserve">tor), </w:t>
      </w:r>
      <w:r w:rsidR="00C46A02" w:rsidRPr="00BE1047">
        <w:rPr>
          <w:szCs w:val="22"/>
        </w:rPr>
        <w:t>International Duty Free Trading &amp; Agencies</w:t>
      </w:r>
      <w:r w:rsidR="0047558E" w:rsidRPr="00BE1047">
        <w:rPr>
          <w:szCs w:val="22"/>
        </w:rPr>
        <w:t xml:space="preserve"> (coffee breaks), Travalo (portfolio), Kajal (gift bag), Pernod Ricard (cocktail evening</w:t>
      </w:r>
      <w:r w:rsidR="00BE1047" w:rsidRPr="00BE1047">
        <w:rPr>
          <w:szCs w:val="22"/>
        </w:rPr>
        <w:t xml:space="preserve"> drinks</w:t>
      </w:r>
      <w:r w:rsidR="0047558E" w:rsidRPr="00BE1047">
        <w:rPr>
          <w:szCs w:val="22"/>
        </w:rPr>
        <w:t>)</w:t>
      </w:r>
      <w:r w:rsidR="00BE1047" w:rsidRPr="00BE1047">
        <w:rPr>
          <w:szCs w:val="22"/>
        </w:rPr>
        <w:t>, Diageo and Audeh (gala dinner drinks),</w:t>
      </w:r>
      <w:r w:rsidR="00BE1047" w:rsidRPr="00BE1047">
        <w:rPr>
          <w:szCs w:val="22"/>
          <w:shd w:val="clear" w:color="auto" w:fill="FFFFFF"/>
        </w:rPr>
        <w:t xml:space="preserve"> Lagardère Travel Retail</w:t>
      </w:r>
      <w:r w:rsidR="00BE1047" w:rsidRPr="00BE1047">
        <w:rPr>
          <w:bCs/>
          <w:szCs w:val="22"/>
        </w:rPr>
        <w:t xml:space="preserve"> (lanyards</w:t>
      </w:r>
      <w:r w:rsidR="00BE1047" w:rsidRPr="00BE1047">
        <w:rPr>
          <w:szCs w:val="22"/>
        </w:rPr>
        <w:t>),</w:t>
      </w:r>
      <w:r w:rsidR="00690604" w:rsidRPr="00BE1047">
        <w:rPr>
          <w:szCs w:val="22"/>
        </w:rPr>
        <w:t xml:space="preserve"> </w:t>
      </w:r>
      <w:r w:rsidR="00BE1047" w:rsidRPr="00BE1047">
        <w:rPr>
          <w:szCs w:val="22"/>
        </w:rPr>
        <w:t>Frey Wille (hostess outfits);.</w:t>
      </w:r>
      <w:r w:rsidR="00690604" w:rsidRPr="00BE1047">
        <w:rPr>
          <w:szCs w:val="22"/>
        </w:rPr>
        <w:t>exhibition stand</w:t>
      </w:r>
      <w:r w:rsidR="0047558E" w:rsidRPr="00BE1047">
        <w:rPr>
          <w:szCs w:val="22"/>
        </w:rPr>
        <w:t>s</w:t>
      </w:r>
      <w:r w:rsidR="00690604" w:rsidRPr="00BE1047">
        <w:rPr>
          <w:szCs w:val="22"/>
        </w:rPr>
        <w:t xml:space="preserve"> Mars ITR</w:t>
      </w:r>
      <w:r w:rsidR="0047558E" w:rsidRPr="00BE1047">
        <w:rPr>
          <w:szCs w:val="22"/>
        </w:rPr>
        <w:t xml:space="preserve"> and Oriental GT Inc</w:t>
      </w:r>
      <w:r w:rsidR="00BE1047" w:rsidRPr="00BE1047">
        <w:rPr>
          <w:szCs w:val="22"/>
        </w:rPr>
        <w:t>; Rotary and Fazer (</w:t>
      </w:r>
      <w:r w:rsidR="00A83E91">
        <w:rPr>
          <w:szCs w:val="22"/>
        </w:rPr>
        <w:t>product distribution</w:t>
      </w:r>
      <w:r w:rsidR="00BE1047" w:rsidRPr="00BE1047">
        <w:rPr>
          <w:szCs w:val="22"/>
        </w:rPr>
        <w:t>).</w:t>
      </w:r>
    </w:p>
    <w:p w:rsidR="003E05B2" w:rsidRDefault="003E05B2" w:rsidP="0047558E">
      <w:pPr>
        <w:jc w:val="both"/>
        <w:rPr>
          <w:szCs w:val="22"/>
        </w:rPr>
      </w:pPr>
    </w:p>
    <w:p w:rsidR="003E05B2" w:rsidRPr="00BE1047" w:rsidRDefault="003E05B2" w:rsidP="0047558E">
      <w:pPr>
        <w:jc w:val="both"/>
        <w:rPr>
          <w:szCs w:val="22"/>
        </w:rPr>
      </w:pPr>
      <w:r>
        <w:rPr>
          <w:szCs w:val="22"/>
        </w:rPr>
        <w:t>MEADFA President Sean Staunton commented</w:t>
      </w:r>
      <w:r w:rsidR="00A83E91">
        <w:rPr>
          <w:szCs w:val="22"/>
        </w:rPr>
        <w:t xml:space="preserve">, </w:t>
      </w:r>
      <w:r>
        <w:rPr>
          <w:szCs w:val="22"/>
        </w:rPr>
        <w:t>“I’m delighted with the way in which operators and brands across the Middle East and Africa have got behind this year’s MEADFA Conference. As ever, the event offers fantastic opportunities to network and to meet the region’s most influential companies, and the conference programme includes a diverse range of high-level speakers. And the backdrop to the event, at Jordan’s Dead Sea, will be spectacular. We invite all those with an interest in duty free &amp; travel retail in the Middle East and Africa to join us at what will be a landmark event.”</w:t>
      </w:r>
    </w:p>
    <w:p w:rsidR="00690604" w:rsidRPr="00BE1047" w:rsidRDefault="00690604" w:rsidP="00FE78B0">
      <w:pPr>
        <w:pStyle w:val="yiv1799962672msonormal"/>
        <w:shd w:val="clear" w:color="auto" w:fill="FFFFFF"/>
        <w:spacing w:before="0" w:beforeAutospacing="0" w:after="0" w:afterAutospacing="0"/>
        <w:jc w:val="both"/>
        <w:rPr>
          <w:rFonts w:ascii="Arial" w:hAnsi="Arial" w:cs="Arial"/>
          <w:sz w:val="22"/>
          <w:szCs w:val="22"/>
        </w:rPr>
      </w:pPr>
    </w:p>
    <w:p w:rsidR="00FF494E" w:rsidRPr="00BE1047" w:rsidRDefault="00FF494E" w:rsidP="00FF494E">
      <w:pPr>
        <w:pStyle w:val="yiv2104669236msolistparagraph"/>
        <w:shd w:val="clear" w:color="auto" w:fill="FFFFFF"/>
        <w:spacing w:before="0" w:beforeAutospacing="0" w:after="0" w:afterAutospacing="0"/>
        <w:jc w:val="both"/>
        <w:rPr>
          <w:rFonts w:ascii="Arial" w:hAnsi="Arial" w:cs="Arial"/>
        </w:rPr>
      </w:pPr>
      <w:r w:rsidRPr="00BE1047">
        <w:rPr>
          <w:rFonts w:ascii="Arial" w:hAnsi="Arial" w:cs="Arial"/>
          <w:sz w:val="22"/>
          <w:szCs w:val="22"/>
        </w:rPr>
        <w:lastRenderedPageBreak/>
        <w:t xml:space="preserve">The media partners of the MEADFA Conference are The Moodie Report, Travel Retail Business, Gulf-Africa Duty Free, Frontier &amp; Frontier Brands, DFNI &amp; </w:t>
      </w:r>
      <w:r w:rsidR="0030485F" w:rsidRPr="00BE1047">
        <w:rPr>
          <w:rFonts w:ascii="Arial" w:hAnsi="Arial" w:cs="Arial"/>
          <w:sz w:val="22"/>
          <w:szCs w:val="22"/>
        </w:rPr>
        <w:t>Travel Retailer International</w:t>
      </w:r>
      <w:r w:rsidRPr="00BE1047">
        <w:rPr>
          <w:rFonts w:ascii="Arial" w:hAnsi="Arial" w:cs="Arial"/>
          <w:sz w:val="22"/>
          <w:szCs w:val="22"/>
        </w:rPr>
        <w:t>.</w:t>
      </w:r>
    </w:p>
    <w:p w:rsidR="004B618F" w:rsidRPr="00BE1047" w:rsidRDefault="004B618F" w:rsidP="00FE78B0">
      <w:pPr>
        <w:pStyle w:val="ListParagraph"/>
        <w:ind w:left="0"/>
        <w:jc w:val="both"/>
        <w:rPr>
          <w:rFonts w:ascii="Arial" w:hAnsi="Arial" w:cs="Arial"/>
          <w:bCs/>
          <w:sz w:val="22"/>
          <w:szCs w:val="22"/>
          <w:lang w:val="en-US"/>
        </w:rPr>
      </w:pPr>
    </w:p>
    <w:p w:rsidR="007F0139" w:rsidRPr="00BE1047" w:rsidRDefault="00DE021C" w:rsidP="00FE78B0">
      <w:pPr>
        <w:jc w:val="both"/>
        <w:rPr>
          <w:szCs w:val="22"/>
          <w:shd w:val="clear" w:color="auto" w:fill="FFFFFF"/>
        </w:rPr>
      </w:pPr>
      <w:r w:rsidRPr="00BE1047">
        <w:rPr>
          <w:szCs w:val="22"/>
          <w:shd w:val="clear" w:color="auto" w:fill="FFFFFF"/>
        </w:rPr>
        <w:t xml:space="preserve">Registration </w:t>
      </w:r>
      <w:r w:rsidR="00FE78B0" w:rsidRPr="00BE1047">
        <w:rPr>
          <w:szCs w:val="22"/>
          <w:shd w:val="clear" w:color="auto" w:fill="FFFFFF"/>
        </w:rPr>
        <w:t xml:space="preserve">for the MEADFA Conference 2015 is open at </w:t>
      </w:r>
      <w:hyperlink r:id="rId9" w:history="1">
        <w:r w:rsidR="00805FC6" w:rsidRPr="00BE1047">
          <w:rPr>
            <w:rStyle w:val="Hyperlink"/>
            <w:color w:val="auto"/>
            <w:szCs w:val="22"/>
            <w:shd w:val="clear" w:color="auto" w:fill="FFFFFF"/>
          </w:rPr>
          <w:t>www.tfwa.com</w:t>
        </w:r>
      </w:hyperlink>
      <w:r w:rsidRPr="00BE1047">
        <w:rPr>
          <w:szCs w:val="22"/>
          <w:shd w:val="clear" w:color="auto" w:fill="FFFFFF"/>
        </w:rPr>
        <w:t>.</w:t>
      </w:r>
    </w:p>
    <w:p w:rsidR="00805FC6" w:rsidRPr="00BE1047" w:rsidRDefault="00805FC6" w:rsidP="00EF56D7">
      <w:pPr>
        <w:jc w:val="both"/>
        <w:rPr>
          <w:szCs w:val="22"/>
        </w:rPr>
      </w:pPr>
    </w:p>
    <w:p w:rsidR="0030485F" w:rsidRPr="00BE1047" w:rsidRDefault="0030485F" w:rsidP="00EF56D7">
      <w:pPr>
        <w:jc w:val="both"/>
        <w:rPr>
          <w:szCs w:val="22"/>
        </w:rPr>
      </w:pPr>
      <w:r w:rsidRPr="00BE1047">
        <w:rPr>
          <w:szCs w:val="22"/>
        </w:rPr>
        <w:t>Ends</w:t>
      </w:r>
    </w:p>
    <w:p w:rsidR="0067329F" w:rsidRPr="0061420B" w:rsidRDefault="0067329F" w:rsidP="007F0139">
      <w:pPr>
        <w:pStyle w:val="BodyText"/>
        <w:rPr>
          <w:b/>
          <w:color w:val="FF0000"/>
          <w:sz w:val="22"/>
          <w:szCs w:val="22"/>
        </w:rPr>
      </w:pPr>
    </w:p>
    <w:p w:rsidR="0067329F" w:rsidRDefault="0067329F" w:rsidP="007F0139">
      <w:pPr>
        <w:pStyle w:val="BodyText"/>
        <w:rPr>
          <w:b/>
          <w:sz w:val="22"/>
          <w:szCs w:val="22"/>
        </w:rPr>
      </w:pPr>
    </w:p>
    <w:p w:rsidR="007F0139" w:rsidRDefault="007F0139" w:rsidP="007F0139">
      <w:pPr>
        <w:pStyle w:val="BodyText"/>
        <w:rPr>
          <w:sz w:val="22"/>
          <w:szCs w:val="22"/>
        </w:rPr>
      </w:pPr>
      <w:r>
        <w:rPr>
          <w:b/>
          <w:sz w:val="22"/>
          <w:szCs w:val="22"/>
        </w:rPr>
        <w:t>For further information please contact</w:t>
      </w:r>
      <w:r>
        <w:rPr>
          <w:b/>
          <w:sz w:val="22"/>
          <w:szCs w:val="22"/>
        </w:rPr>
        <w:tab/>
      </w:r>
      <w:r>
        <w:rPr>
          <w:b/>
          <w:sz w:val="22"/>
          <w:szCs w:val="22"/>
        </w:rPr>
        <w:tab/>
      </w:r>
      <w:r>
        <w:rPr>
          <w:b/>
          <w:sz w:val="22"/>
          <w:szCs w:val="22"/>
        </w:rPr>
        <w:tab/>
      </w:r>
      <w:r>
        <w:rPr>
          <w:b/>
          <w:sz w:val="22"/>
          <w:szCs w:val="22"/>
        </w:rPr>
        <w:tab/>
      </w:r>
    </w:p>
    <w:p w:rsidR="007F0139" w:rsidRDefault="00E21A07" w:rsidP="007F0139">
      <w:pPr>
        <w:pStyle w:val="BodyText"/>
        <w:rPr>
          <w:sz w:val="22"/>
          <w:szCs w:val="22"/>
        </w:rPr>
      </w:pPr>
      <w:r>
        <w:rPr>
          <w:sz w:val="22"/>
          <w:szCs w:val="22"/>
        </w:rPr>
        <w:t>TFWA Press Office</w:t>
      </w:r>
      <w:r>
        <w:rPr>
          <w:sz w:val="22"/>
          <w:szCs w:val="22"/>
        </w:rPr>
        <w:tab/>
      </w:r>
      <w:r>
        <w:rPr>
          <w:sz w:val="22"/>
          <w:szCs w:val="22"/>
        </w:rPr>
        <w:tab/>
      </w:r>
      <w:r>
        <w:rPr>
          <w:sz w:val="22"/>
          <w:szCs w:val="22"/>
        </w:rPr>
        <w:tab/>
      </w:r>
      <w:r>
        <w:rPr>
          <w:sz w:val="22"/>
          <w:szCs w:val="22"/>
        </w:rPr>
        <w:tab/>
      </w:r>
      <w:r>
        <w:rPr>
          <w:sz w:val="22"/>
          <w:szCs w:val="22"/>
        </w:rPr>
        <w:tab/>
      </w:r>
    </w:p>
    <w:p w:rsidR="00CD0614" w:rsidRDefault="007F0139">
      <w:pPr>
        <w:pStyle w:val="BodyText"/>
        <w:rPr>
          <w:rStyle w:val="Hyperlink"/>
          <w:sz w:val="22"/>
          <w:szCs w:val="22"/>
        </w:rPr>
      </w:pPr>
      <w:r>
        <w:rPr>
          <w:sz w:val="22"/>
          <w:szCs w:val="22"/>
        </w:rPr>
        <w:t>Email:</w:t>
      </w:r>
      <w:r>
        <w:rPr>
          <w:sz w:val="22"/>
          <w:szCs w:val="22"/>
        </w:rPr>
        <w:tab/>
      </w:r>
      <w:hyperlink r:id="rId10" w:history="1">
        <w:r w:rsidR="00E21A07" w:rsidRPr="00823790">
          <w:rPr>
            <w:rStyle w:val="Hyperlink"/>
            <w:sz w:val="22"/>
            <w:szCs w:val="22"/>
          </w:rPr>
          <w:t>tfwapress@tfwa.com</w:t>
        </w:r>
      </w:hyperlink>
    </w:p>
    <w:p w:rsidR="00E728DF" w:rsidRDefault="004D44EF">
      <w:pPr>
        <w:pStyle w:val="BodyText"/>
      </w:pPr>
      <w:hyperlink r:id="rId11" w:history="1">
        <w:r w:rsidR="00CD0614" w:rsidRPr="004752C8">
          <w:rPr>
            <w:rStyle w:val="Hyperlink"/>
            <w:sz w:val="22"/>
            <w:szCs w:val="22"/>
          </w:rPr>
          <w:t>www.tfwa.com</w:t>
        </w:r>
      </w:hyperlink>
    </w:p>
    <w:sectPr w:rsidR="00E728DF" w:rsidSect="004D44EF">
      <w:headerReference w:type="even" r:id="rId12"/>
      <w:headerReference w:type="default" r:id="rId13"/>
      <w:footerReference w:type="default" r:id="rId14"/>
      <w:pgSz w:w="11900" w:h="16840" w:code="1"/>
      <w:pgMar w:top="1820" w:right="1701" w:bottom="1247" w:left="1701" w:header="22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984" w:rsidRDefault="00527984">
      <w:r>
        <w:separator/>
      </w:r>
    </w:p>
  </w:endnote>
  <w:endnote w:type="continuationSeparator" w:id="0">
    <w:p w:rsidR="00527984" w:rsidRDefault="0052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50" w:rsidRPr="003708EB" w:rsidRDefault="003708EB" w:rsidP="0067329F">
    <w:pPr>
      <w:suppressAutoHyphens w:val="0"/>
      <w:autoSpaceDE w:val="0"/>
      <w:autoSpaceDN w:val="0"/>
      <w:adjustRightInd w:val="0"/>
      <w:ind w:left="720"/>
      <w:jc w:val="center"/>
      <w:rPr>
        <w:sz w:val="20"/>
        <w:szCs w:val="20"/>
      </w:rPr>
    </w:pPr>
    <w:r w:rsidRPr="003708EB">
      <w:rPr>
        <w:sz w:val="20"/>
        <w:szCs w:val="20"/>
      </w:rPr>
      <w:t xml:space="preserve">Tax Free World Association, </w:t>
    </w:r>
    <w:r w:rsidRPr="003708EB">
      <w:rPr>
        <w:sz w:val="20"/>
        <w:szCs w:val="20"/>
        <w:lang w:eastAsia="fr-FR"/>
      </w:rPr>
      <w:t>23-25, rue de Berri</w:t>
    </w:r>
    <w:r w:rsidRPr="003708EB">
      <w:rPr>
        <w:sz w:val="20"/>
        <w:szCs w:val="20"/>
      </w:rPr>
      <w:t>, 75008 Paris, France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984" w:rsidRDefault="00527984">
      <w:r>
        <w:separator/>
      </w:r>
    </w:p>
  </w:footnote>
  <w:footnote w:type="continuationSeparator" w:id="0">
    <w:p w:rsidR="00527984" w:rsidRDefault="00527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50" w:rsidRDefault="00D75D04">
    <w:pPr>
      <w:pStyle w:val="Header"/>
    </w:pPr>
    <w:r>
      <w:fldChar w:fldCharType="begin"/>
    </w:r>
    <w:r w:rsidR="003C3650">
      <w:instrText xml:space="preserve"> PAGE </w:instrText>
    </w:r>
    <w:r>
      <w:fldChar w:fldCharType="separate"/>
    </w:r>
    <w:r w:rsidR="004D44EF">
      <w:rPr>
        <w:noProof/>
      </w:rPr>
      <w:t>2</w:t>
    </w:r>
    <w:r>
      <w:fldChar w:fldCharType="end"/>
    </w:r>
  </w:p>
  <w:p w:rsidR="003C3650" w:rsidRDefault="003C36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50" w:rsidRDefault="009A5C47" w:rsidP="00C46A02">
    <w:pPr>
      <w:pStyle w:val="Header"/>
      <w:jc w:val="right"/>
    </w:pPr>
    <w:r>
      <w:rPr>
        <w:noProof/>
        <w:lang w:eastAsia="en-GB"/>
      </w:rPr>
      <w:drawing>
        <wp:anchor distT="0" distB="0" distL="114300" distR="114300" simplePos="0" relativeHeight="251658240" behindDoc="0" locked="0" layoutInCell="1" allowOverlap="1" wp14:anchorId="3839CA7E" wp14:editId="1C1A12E6">
          <wp:simplePos x="0" y="0"/>
          <wp:positionH relativeFrom="page">
            <wp:posOffset>676275</wp:posOffset>
          </wp:positionH>
          <wp:positionV relativeFrom="page">
            <wp:posOffset>28575</wp:posOffset>
          </wp:positionV>
          <wp:extent cx="2028825" cy="1767456"/>
          <wp:effectExtent l="0" t="0" r="0" b="0"/>
          <wp:wrapThrough wrapText="bothSides">
            <wp:wrapPolygon edited="0">
              <wp:start x="2637" y="931"/>
              <wp:lineTo x="1014" y="3260"/>
              <wp:lineTo x="811" y="8848"/>
              <wp:lineTo x="2434" y="12573"/>
              <wp:lineTo x="2637" y="20723"/>
              <wp:lineTo x="19673" y="20723"/>
              <wp:lineTo x="19673" y="931"/>
              <wp:lineTo x="2637" y="931"/>
            </wp:wrapPolygon>
          </wp:wrapThrough>
          <wp:docPr id="17" name="Block_CorpAss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_CorpAsso_RGB.png"/>
                  <pic:cNvPicPr/>
                </pic:nvPicPr>
                <pic:blipFill>
                  <a:blip r:embed="rId1" r:link="rId2">
                    <a:extLst>
                      <a:ext uri="{28A0092B-C50C-407E-A947-70E740481C1C}">
                        <a14:useLocalDpi xmlns:a14="http://schemas.microsoft.com/office/drawing/2010/main" val="0"/>
                      </a:ext>
                    </a:extLst>
                  </a:blip>
                  <a:stretch>
                    <a:fillRect/>
                  </a:stretch>
                </pic:blipFill>
                <pic:spPr>
                  <a:xfrm>
                    <a:off x="0" y="0"/>
                    <a:ext cx="2028994" cy="1767603"/>
                  </a:xfrm>
                  <a:prstGeom prst="rect">
                    <a:avLst/>
                  </a:prstGeom>
                </pic:spPr>
              </pic:pic>
            </a:graphicData>
          </a:graphic>
          <wp14:sizeRelH relativeFrom="margin">
            <wp14:pctWidth>0</wp14:pctWidth>
          </wp14:sizeRelH>
          <wp14:sizeRelV relativeFrom="margin">
            <wp14:pctHeight>0</wp14:pctHeight>
          </wp14:sizeRelV>
        </wp:anchor>
      </w:drawing>
    </w:r>
    <w:r w:rsidR="003C3650">
      <w:t xml:space="preserve">        </w:t>
    </w:r>
    <w:r w:rsidR="00C46A02">
      <w:rPr>
        <w:noProof/>
        <w:lang w:eastAsia="en-GB"/>
      </w:rPr>
      <w:drawing>
        <wp:inline distT="0" distB="0" distL="0" distR="0" wp14:anchorId="2F53D434" wp14:editId="3E008FC7">
          <wp:extent cx="1990510" cy="15176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ADFA_logo_2013.jpg"/>
                  <pic:cNvPicPr/>
                </pic:nvPicPr>
                <pic:blipFill>
                  <a:blip r:embed="rId3">
                    <a:extLst>
                      <a:ext uri="{28A0092B-C50C-407E-A947-70E740481C1C}">
                        <a14:useLocalDpi xmlns:a14="http://schemas.microsoft.com/office/drawing/2010/main" val="0"/>
                      </a:ext>
                    </a:extLst>
                  </a:blip>
                  <a:stretch>
                    <a:fillRect/>
                  </a:stretch>
                </pic:blipFill>
                <pic:spPr>
                  <a:xfrm>
                    <a:off x="0" y="0"/>
                    <a:ext cx="1986123" cy="15143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8A05F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43C2A41"/>
    <w:multiLevelType w:val="hybridMultilevel"/>
    <w:tmpl w:val="41E097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EED3679"/>
    <w:multiLevelType w:val="hybridMultilevel"/>
    <w:tmpl w:val="E6A6F4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StaticGuides" w:val="1"/>
  </w:docVars>
  <w:rsids>
    <w:rsidRoot w:val="00BD142B"/>
    <w:rsid w:val="00004EA2"/>
    <w:rsid w:val="00014EE6"/>
    <w:rsid w:val="0001534A"/>
    <w:rsid w:val="00037B90"/>
    <w:rsid w:val="00065661"/>
    <w:rsid w:val="000A24CC"/>
    <w:rsid w:val="000B7045"/>
    <w:rsid w:val="000C2952"/>
    <w:rsid w:val="000F0487"/>
    <w:rsid w:val="00125EC4"/>
    <w:rsid w:val="00126ACA"/>
    <w:rsid w:val="00127761"/>
    <w:rsid w:val="001829F4"/>
    <w:rsid w:val="00183EFB"/>
    <w:rsid w:val="00184A6D"/>
    <w:rsid w:val="00187DA4"/>
    <w:rsid w:val="00195C04"/>
    <w:rsid w:val="001E15A5"/>
    <w:rsid w:val="001E15F6"/>
    <w:rsid w:val="00222BBE"/>
    <w:rsid w:val="00232F0D"/>
    <w:rsid w:val="0025628D"/>
    <w:rsid w:val="00283402"/>
    <w:rsid w:val="0028430C"/>
    <w:rsid w:val="002C395C"/>
    <w:rsid w:val="002C460C"/>
    <w:rsid w:val="002F10B8"/>
    <w:rsid w:val="0030485F"/>
    <w:rsid w:val="00313BE5"/>
    <w:rsid w:val="003315B0"/>
    <w:rsid w:val="00332A3F"/>
    <w:rsid w:val="0035769B"/>
    <w:rsid w:val="003708EB"/>
    <w:rsid w:val="0037756A"/>
    <w:rsid w:val="003B2EA7"/>
    <w:rsid w:val="003C3650"/>
    <w:rsid w:val="003D0094"/>
    <w:rsid w:val="003E05B2"/>
    <w:rsid w:val="003E1498"/>
    <w:rsid w:val="003F6482"/>
    <w:rsid w:val="00465D55"/>
    <w:rsid w:val="00471934"/>
    <w:rsid w:val="00474C79"/>
    <w:rsid w:val="0047558E"/>
    <w:rsid w:val="004B618F"/>
    <w:rsid w:val="004C2026"/>
    <w:rsid w:val="004D44EF"/>
    <w:rsid w:val="004F746C"/>
    <w:rsid w:val="00524730"/>
    <w:rsid w:val="00527984"/>
    <w:rsid w:val="00531017"/>
    <w:rsid w:val="00537E6B"/>
    <w:rsid w:val="005A39AD"/>
    <w:rsid w:val="005B3384"/>
    <w:rsid w:val="005F6A8B"/>
    <w:rsid w:val="0061420B"/>
    <w:rsid w:val="00621FE6"/>
    <w:rsid w:val="006453BD"/>
    <w:rsid w:val="006516C0"/>
    <w:rsid w:val="0067329F"/>
    <w:rsid w:val="00690604"/>
    <w:rsid w:val="00697ED4"/>
    <w:rsid w:val="006C2881"/>
    <w:rsid w:val="006C5BB4"/>
    <w:rsid w:val="006E0C2C"/>
    <w:rsid w:val="006F0F0F"/>
    <w:rsid w:val="006F4A43"/>
    <w:rsid w:val="00707B6C"/>
    <w:rsid w:val="00707BEA"/>
    <w:rsid w:val="00733DDB"/>
    <w:rsid w:val="00746248"/>
    <w:rsid w:val="0077124F"/>
    <w:rsid w:val="00781A47"/>
    <w:rsid w:val="00796A13"/>
    <w:rsid w:val="007A1951"/>
    <w:rsid w:val="007B2DD3"/>
    <w:rsid w:val="007D13C3"/>
    <w:rsid w:val="007E38F1"/>
    <w:rsid w:val="007E6999"/>
    <w:rsid w:val="007F0139"/>
    <w:rsid w:val="0080175E"/>
    <w:rsid w:val="00805FC6"/>
    <w:rsid w:val="0085157F"/>
    <w:rsid w:val="008661AA"/>
    <w:rsid w:val="008725A8"/>
    <w:rsid w:val="008A452E"/>
    <w:rsid w:val="008B5A46"/>
    <w:rsid w:val="008C1B70"/>
    <w:rsid w:val="008F04BB"/>
    <w:rsid w:val="00902D29"/>
    <w:rsid w:val="00923865"/>
    <w:rsid w:val="0096294E"/>
    <w:rsid w:val="00975E3E"/>
    <w:rsid w:val="009A5C47"/>
    <w:rsid w:val="009C0F20"/>
    <w:rsid w:val="009E103C"/>
    <w:rsid w:val="00A8325E"/>
    <w:rsid w:val="00A83E91"/>
    <w:rsid w:val="00A94371"/>
    <w:rsid w:val="00AB12FE"/>
    <w:rsid w:val="00AD7403"/>
    <w:rsid w:val="00B04747"/>
    <w:rsid w:val="00B20DA6"/>
    <w:rsid w:val="00B254DC"/>
    <w:rsid w:val="00B53388"/>
    <w:rsid w:val="00B81764"/>
    <w:rsid w:val="00B87B24"/>
    <w:rsid w:val="00BA2D53"/>
    <w:rsid w:val="00BC6BA5"/>
    <w:rsid w:val="00BD11A1"/>
    <w:rsid w:val="00BD142B"/>
    <w:rsid w:val="00BE1047"/>
    <w:rsid w:val="00BE5101"/>
    <w:rsid w:val="00C319AC"/>
    <w:rsid w:val="00C46A02"/>
    <w:rsid w:val="00C5320D"/>
    <w:rsid w:val="00C6046F"/>
    <w:rsid w:val="00C62DCA"/>
    <w:rsid w:val="00C66275"/>
    <w:rsid w:val="00C83FCF"/>
    <w:rsid w:val="00C8549D"/>
    <w:rsid w:val="00CB0ECA"/>
    <w:rsid w:val="00CC0DBE"/>
    <w:rsid w:val="00CC719B"/>
    <w:rsid w:val="00CD0614"/>
    <w:rsid w:val="00CD093F"/>
    <w:rsid w:val="00D1487F"/>
    <w:rsid w:val="00D207D5"/>
    <w:rsid w:val="00D37560"/>
    <w:rsid w:val="00D554A2"/>
    <w:rsid w:val="00D57EC1"/>
    <w:rsid w:val="00D66C3A"/>
    <w:rsid w:val="00D737C0"/>
    <w:rsid w:val="00D75D04"/>
    <w:rsid w:val="00DB1F1D"/>
    <w:rsid w:val="00DD34CA"/>
    <w:rsid w:val="00DD4DDE"/>
    <w:rsid w:val="00DE021C"/>
    <w:rsid w:val="00E03BF1"/>
    <w:rsid w:val="00E0591F"/>
    <w:rsid w:val="00E13224"/>
    <w:rsid w:val="00E13C70"/>
    <w:rsid w:val="00E21A07"/>
    <w:rsid w:val="00E3725F"/>
    <w:rsid w:val="00E37AFE"/>
    <w:rsid w:val="00E459EC"/>
    <w:rsid w:val="00E728DF"/>
    <w:rsid w:val="00EA7656"/>
    <w:rsid w:val="00EC16A3"/>
    <w:rsid w:val="00ED2605"/>
    <w:rsid w:val="00EF1FF6"/>
    <w:rsid w:val="00EF4BF3"/>
    <w:rsid w:val="00EF56D7"/>
    <w:rsid w:val="00F06C39"/>
    <w:rsid w:val="00F17560"/>
    <w:rsid w:val="00F35B08"/>
    <w:rsid w:val="00F45E73"/>
    <w:rsid w:val="00F814D6"/>
    <w:rsid w:val="00FA32CB"/>
    <w:rsid w:val="00FC03CA"/>
    <w:rsid w:val="00FE78B0"/>
    <w:rsid w:val="00FF494E"/>
    <w:rsid w:val="00FF7B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5:docId w15:val="{5757C7F7-7A79-4414-A2DB-9366FB51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sz w:val="22"/>
      <w:szCs w:val="24"/>
      <w:lang w:eastAsia="ar-SA"/>
    </w:rPr>
  </w:style>
  <w:style w:type="paragraph" w:styleId="Heading1">
    <w:name w:val="heading 1"/>
    <w:basedOn w:val="Normal"/>
    <w:next w:val="Normal"/>
    <w:qFormat/>
    <w:pPr>
      <w:keepNext/>
      <w:numPr>
        <w:numId w:val="1"/>
      </w:numPr>
      <w:jc w:val="center"/>
      <w:outlineLvl w:val="0"/>
    </w:pPr>
    <w:rPr>
      <w:rFonts w:eastAsia="Times"/>
      <w:b/>
      <w:sz w:val="28"/>
      <w:szCs w:val="20"/>
    </w:rPr>
  </w:style>
  <w:style w:type="paragraph" w:styleId="Heading2">
    <w:name w:val="heading 2"/>
    <w:basedOn w:val="Normal"/>
    <w:next w:val="Normal"/>
    <w:qFormat/>
    <w:pPr>
      <w:keepNext/>
      <w:numPr>
        <w:ilvl w:val="1"/>
        <w:numId w:val="1"/>
      </w:numPr>
      <w:spacing w:before="240" w:after="60"/>
      <w:outlineLvl w:val="1"/>
    </w:pPr>
    <w:rPr>
      <w:rFonts w:ascii="Cambria" w:hAnsi="Cambria" w:cs="Times New Roman"/>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Heading2Char">
    <w:name w:val="Heading 2 Char"/>
    <w:rPr>
      <w:rFonts w:ascii="Cambria" w:eastAsia="Times New Roman" w:hAnsi="Cambria" w:cs="Times New Roman"/>
      <w:b/>
      <w:bCs/>
      <w:i/>
      <w:iCs/>
      <w:sz w:val="28"/>
      <w:szCs w:val="28"/>
    </w:rPr>
  </w:style>
  <w:style w:type="character" w:customStyle="1" w:styleId="Heading3Char">
    <w:name w:val="Heading 3 Char"/>
    <w:rPr>
      <w:rFonts w:ascii="Cambria" w:eastAsia="Times New Roman" w:hAnsi="Cambria" w:cs="Times New Roman"/>
      <w:b/>
      <w:bCs/>
      <w:sz w:val="26"/>
      <w:szCs w:val="26"/>
    </w:rPr>
  </w:style>
  <w:style w:type="character" w:customStyle="1" w:styleId="HeaderChar">
    <w:name w:val="Header Char"/>
    <w:rPr>
      <w:rFonts w:ascii="Arial" w:hAnsi="Arial" w:cs="Arial"/>
      <w:sz w:val="22"/>
      <w:szCs w:val="24"/>
    </w:rPr>
  </w:style>
  <w:style w:type="character" w:customStyle="1" w:styleId="BodyTextChar">
    <w:name w:val="Body Text Char"/>
    <w:rPr>
      <w:rFonts w:ascii="Arial" w:hAnsi="Arial" w:cs="Arial"/>
      <w:sz w:val="24"/>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rPr>
      <w:sz w:val="24"/>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sz w:val="28"/>
      <w:szCs w:val="20"/>
    </w:rPr>
  </w:style>
  <w:style w:type="paragraph" w:styleId="Subtitle">
    <w:name w:val="Subtitle"/>
    <w:basedOn w:val="Heading"/>
    <w:next w:val="BodyText"/>
    <w:qFormat/>
    <w:pPr>
      <w:jc w:val="center"/>
    </w:pPr>
    <w:rPr>
      <w:i/>
      <w:iCs/>
    </w:rPr>
  </w:style>
  <w:style w:type="paragraph" w:styleId="BodyText2">
    <w:name w:val="Body Text 2"/>
    <w:basedOn w:val="Normal"/>
    <w:pPr>
      <w:jc w:val="both"/>
    </w:pPr>
    <w:rPr>
      <w:rFonts w:eastAsia="Times"/>
      <w:szCs w:val="20"/>
    </w:rPr>
  </w:style>
  <w:style w:type="paragraph" w:styleId="BodyText3">
    <w:name w:val="Body Text 3"/>
    <w:basedOn w:val="Normal"/>
    <w:pPr>
      <w:jc w:val="right"/>
    </w:pPr>
    <w:rPr>
      <w:rFonts w:eastAsia="Times"/>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pPr>
      <w:shd w:val="clear" w:color="auto" w:fill="000080"/>
    </w:pPr>
    <w:rPr>
      <w:rFonts w:ascii="Tahoma" w:hAnsi="Tahoma" w:cs="Tahoma"/>
      <w:sz w:val="20"/>
      <w:szCs w:val="20"/>
    </w:rPr>
  </w:style>
  <w:style w:type="paragraph" w:styleId="BalloonText">
    <w:name w:val="Balloon Text"/>
    <w:basedOn w:val="Normal"/>
    <w:rPr>
      <w:rFonts w:ascii="Tahoma" w:hAnsi="Tahoma" w:cs="Tahoma"/>
      <w:sz w:val="16"/>
      <w:szCs w:val="16"/>
    </w:rPr>
  </w:style>
  <w:style w:type="paragraph" w:styleId="NormalWeb">
    <w:name w:val="Normal (Web)"/>
    <w:basedOn w:val="Normal"/>
    <w:uiPriority w:val="99"/>
    <w:pPr>
      <w:spacing w:before="100" w:after="150" w:line="270" w:lineRule="atLeast"/>
    </w:pPr>
    <w:rPr>
      <w:rFonts w:ascii="Times New Roman" w:hAnsi="Times New Roman" w:cs="Times New Roman"/>
      <w:sz w:val="24"/>
    </w:rPr>
  </w:style>
  <w:style w:type="paragraph" w:customStyle="1" w:styleId="csc-linktotop">
    <w:name w:val="csc-linktotop"/>
    <w:basedOn w:val="Normal"/>
    <w:pPr>
      <w:spacing w:before="75" w:after="150" w:line="270" w:lineRule="atLeast"/>
      <w:jc w:val="right"/>
    </w:pPr>
    <w:rPr>
      <w:rFonts w:ascii="Times New Roman" w:hAnsi="Times New Roman" w:cs="Times New Roman"/>
      <w:sz w:val="24"/>
    </w:rPr>
  </w:style>
  <w:style w:type="paragraph" w:styleId="ListParagraph">
    <w:name w:val="List Paragraph"/>
    <w:basedOn w:val="Normal"/>
    <w:uiPriority w:val="34"/>
    <w:qFormat/>
    <w:pPr>
      <w:ind w:left="720"/>
    </w:pPr>
    <w:rPr>
      <w:rFonts w:ascii="Times New Roman" w:hAnsi="Times New Roman" w:cs="Times New Roman"/>
      <w:sz w:val="24"/>
    </w:rPr>
  </w:style>
  <w:style w:type="paragraph" w:customStyle="1" w:styleId="Framecontents">
    <w:name w:val="Frame contents"/>
    <w:basedOn w:val="BodyText"/>
  </w:style>
  <w:style w:type="character" w:customStyle="1" w:styleId="apple-converted-space">
    <w:name w:val="apple-converted-space"/>
    <w:basedOn w:val="DefaultParagraphFont"/>
    <w:rsid w:val="00D207D5"/>
  </w:style>
  <w:style w:type="character" w:styleId="CommentReference">
    <w:name w:val="annotation reference"/>
    <w:basedOn w:val="DefaultParagraphFont"/>
    <w:uiPriority w:val="99"/>
    <w:semiHidden/>
    <w:unhideWhenUsed/>
    <w:rsid w:val="008A452E"/>
    <w:rPr>
      <w:sz w:val="16"/>
      <w:szCs w:val="16"/>
    </w:rPr>
  </w:style>
  <w:style w:type="paragraph" w:styleId="CommentText">
    <w:name w:val="annotation text"/>
    <w:basedOn w:val="Normal"/>
    <w:link w:val="CommentTextChar"/>
    <w:uiPriority w:val="99"/>
    <w:semiHidden/>
    <w:unhideWhenUsed/>
    <w:rsid w:val="008A452E"/>
    <w:rPr>
      <w:sz w:val="20"/>
      <w:szCs w:val="20"/>
    </w:rPr>
  </w:style>
  <w:style w:type="character" w:customStyle="1" w:styleId="CommentTextChar">
    <w:name w:val="Comment Text Char"/>
    <w:basedOn w:val="DefaultParagraphFont"/>
    <w:link w:val="CommentText"/>
    <w:uiPriority w:val="99"/>
    <w:semiHidden/>
    <w:rsid w:val="008A452E"/>
    <w:rPr>
      <w:rFonts w:ascii="Arial" w:hAnsi="Arial" w:cs="Arial"/>
      <w:lang w:eastAsia="ar-SA"/>
    </w:rPr>
  </w:style>
  <w:style w:type="paragraph" w:styleId="CommentSubject">
    <w:name w:val="annotation subject"/>
    <w:basedOn w:val="CommentText"/>
    <w:next w:val="CommentText"/>
    <w:link w:val="CommentSubjectChar"/>
    <w:uiPriority w:val="99"/>
    <w:semiHidden/>
    <w:unhideWhenUsed/>
    <w:rsid w:val="008A452E"/>
    <w:rPr>
      <w:b/>
      <w:bCs/>
    </w:rPr>
  </w:style>
  <w:style w:type="character" w:customStyle="1" w:styleId="CommentSubjectChar">
    <w:name w:val="Comment Subject Char"/>
    <w:basedOn w:val="CommentTextChar"/>
    <w:link w:val="CommentSubject"/>
    <w:uiPriority w:val="99"/>
    <w:semiHidden/>
    <w:rsid w:val="008A452E"/>
    <w:rPr>
      <w:rFonts w:ascii="Arial" w:hAnsi="Arial" w:cs="Arial"/>
      <w:b/>
      <w:bCs/>
      <w:lang w:eastAsia="ar-SA"/>
    </w:rPr>
  </w:style>
  <w:style w:type="paragraph" w:customStyle="1" w:styleId="yiv1799962672msonormal">
    <w:name w:val="yiv1799962672msonormal"/>
    <w:basedOn w:val="Normal"/>
    <w:rsid w:val="00C46A02"/>
    <w:pPr>
      <w:suppressAutoHyphens w:val="0"/>
      <w:spacing w:before="100" w:beforeAutospacing="1" w:after="100" w:afterAutospacing="1"/>
    </w:pPr>
    <w:rPr>
      <w:rFonts w:ascii="Times New Roman" w:hAnsi="Times New Roman" w:cs="Times New Roman"/>
      <w:sz w:val="24"/>
      <w:lang w:eastAsia="en-GB"/>
    </w:rPr>
  </w:style>
  <w:style w:type="paragraph" w:customStyle="1" w:styleId="yiv1799962672msolistparagraph">
    <w:name w:val="yiv1799962672msolistparagraph"/>
    <w:basedOn w:val="Normal"/>
    <w:rsid w:val="00C46A02"/>
    <w:pPr>
      <w:suppressAutoHyphens w:val="0"/>
      <w:spacing w:before="100" w:beforeAutospacing="1" w:after="100" w:afterAutospacing="1"/>
    </w:pPr>
    <w:rPr>
      <w:rFonts w:ascii="Times New Roman" w:hAnsi="Times New Roman" w:cs="Times New Roman"/>
      <w:sz w:val="24"/>
      <w:lang w:eastAsia="en-GB"/>
    </w:rPr>
  </w:style>
  <w:style w:type="paragraph" w:customStyle="1" w:styleId="yiv2104669236msolistparagraph">
    <w:name w:val="yiv2104669236msolistparagraph"/>
    <w:basedOn w:val="Normal"/>
    <w:rsid w:val="00690604"/>
    <w:pPr>
      <w:suppressAutoHyphens w:val="0"/>
      <w:spacing w:before="100" w:beforeAutospacing="1" w:after="100" w:afterAutospacing="1"/>
    </w:pPr>
    <w:rPr>
      <w:rFonts w:ascii="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36238">
      <w:bodyDiv w:val="1"/>
      <w:marLeft w:val="0"/>
      <w:marRight w:val="0"/>
      <w:marTop w:val="0"/>
      <w:marBottom w:val="0"/>
      <w:divBdr>
        <w:top w:val="none" w:sz="0" w:space="0" w:color="auto"/>
        <w:left w:val="none" w:sz="0" w:space="0" w:color="auto"/>
        <w:bottom w:val="none" w:sz="0" w:space="0" w:color="auto"/>
        <w:right w:val="none" w:sz="0" w:space="0" w:color="auto"/>
      </w:divBdr>
    </w:div>
    <w:div w:id="586814677">
      <w:bodyDiv w:val="1"/>
      <w:marLeft w:val="0"/>
      <w:marRight w:val="0"/>
      <w:marTop w:val="0"/>
      <w:marBottom w:val="0"/>
      <w:divBdr>
        <w:top w:val="none" w:sz="0" w:space="0" w:color="auto"/>
        <w:left w:val="none" w:sz="0" w:space="0" w:color="auto"/>
        <w:bottom w:val="none" w:sz="0" w:space="0" w:color="auto"/>
        <w:right w:val="none" w:sz="0" w:space="0" w:color="auto"/>
      </w:divBdr>
    </w:div>
    <w:div w:id="761028382">
      <w:bodyDiv w:val="1"/>
      <w:marLeft w:val="0"/>
      <w:marRight w:val="0"/>
      <w:marTop w:val="0"/>
      <w:marBottom w:val="0"/>
      <w:divBdr>
        <w:top w:val="none" w:sz="0" w:space="0" w:color="auto"/>
        <w:left w:val="none" w:sz="0" w:space="0" w:color="auto"/>
        <w:bottom w:val="none" w:sz="0" w:space="0" w:color="auto"/>
        <w:right w:val="none" w:sz="0" w:space="0" w:color="auto"/>
      </w:divBdr>
      <w:divsChild>
        <w:div w:id="1379090425">
          <w:marLeft w:val="0"/>
          <w:marRight w:val="0"/>
          <w:marTop w:val="0"/>
          <w:marBottom w:val="0"/>
          <w:divBdr>
            <w:top w:val="none" w:sz="0" w:space="0" w:color="auto"/>
            <w:left w:val="none" w:sz="0" w:space="0" w:color="auto"/>
            <w:bottom w:val="none" w:sz="0" w:space="0" w:color="auto"/>
            <w:right w:val="none" w:sz="0" w:space="0" w:color="auto"/>
          </w:divBdr>
        </w:div>
        <w:div w:id="1593586943">
          <w:marLeft w:val="0"/>
          <w:marRight w:val="0"/>
          <w:marTop w:val="0"/>
          <w:marBottom w:val="0"/>
          <w:divBdr>
            <w:top w:val="none" w:sz="0" w:space="0" w:color="auto"/>
            <w:left w:val="none" w:sz="0" w:space="0" w:color="auto"/>
            <w:bottom w:val="none" w:sz="0" w:space="0" w:color="auto"/>
            <w:right w:val="none" w:sz="0" w:space="0" w:color="auto"/>
          </w:divBdr>
        </w:div>
        <w:div w:id="1021125962">
          <w:marLeft w:val="0"/>
          <w:marRight w:val="0"/>
          <w:marTop w:val="0"/>
          <w:marBottom w:val="0"/>
          <w:divBdr>
            <w:top w:val="none" w:sz="0" w:space="0" w:color="auto"/>
            <w:left w:val="none" w:sz="0" w:space="0" w:color="auto"/>
            <w:bottom w:val="none" w:sz="0" w:space="0" w:color="auto"/>
            <w:right w:val="none" w:sz="0" w:space="0" w:color="auto"/>
          </w:divBdr>
        </w:div>
      </w:divsChild>
    </w:div>
    <w:div w:id="1298757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fwa.com/duty_free/Programme.1251.0.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fw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fwapress@tfwa.com" TargetMode="External"/><Relationship Id="rId4" Type="http://schemas.openxmlformats.org/officeDocument/2006/relationships/settings" Target="settings.xml"/><Relationship Id="rId9" Type="http://schemas.openxmlformats.org/officeDocument/2006/relationships/hyperlink" Target="http://www.tfwa.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file://localhost/Volumes/Exe/EXE_en_cours/TFWA/_Intranet/new_logolibrary/logos_jpg/Corporate/Block_CorpAsso_RGB.png"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DEDAA-EAAF-4A59-8554-17C7F09B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2877</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3375</CharactersWithSpaces>
  <SharedDoc>false</SharedDoc>
  <HLinks>
    <vt:vector size="18" baseType="variant">
      <vt:variant>
        <vt:i4>4587631</vt:i4>
      </vt:variant>
      <vt:variant>
        <vt:i4>6</vt:i4>
      </vt:variant>
      <vt:variant>
        <vt:i4>0</vt:i4>
      </vt:variant>
      <vt:variant>
        <vt:i4>5</vt:i4>
      </vt:variant>
      <vt:variant>
        <vt:lpwstr>mailto:press@tfwa.com</vt:lpwstr>
      </vt:variant>
      <vt:variant>
        <vt:lpwstr/>
      </vt:variant>
      <vt:variant>
        <vt:i4>4587609</vt:i4>
      </vt:variant>
      <vt:variant>
        <vt:i4>3</vt:i4>
      </vt:variant>
      <vt:variant>
        <vt:i4>0</vt:i4>
      </vt:variant>
      <vt:variant>
        <vt:i4>5</vt:i4>
      </vt:variant>
      <vt:variant>
        <vt:lpwstr>http://www.tfwa.com/</vt:lpwstr>
      </vt:variant>
      <vt:variant>
        <vt:lpwstr/>
      </vt:variant>
      <vt:variant>
        <vt:i4>4587609</vt:i4>
      </vt:variant>
      <vt:variant>
        <vt:i4>0</vt:i4>
      </vt:variant>
      <vt:variant>
        <vt:i4>0</vt:i4>
      </vt:variant>
      <vt:variant>
        <vt:i4>5</vt:i4>
      </vt:variant>
      <vt:variant>
        <vt:lpwstr>http://www.tfwa.com/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DS2</dc:creator>
  <cp:lastModifiedBy>Havovie Pardiwalla</cp:lastModifiedBy>
  <cp:revision>3</cp:revision>
  <cp:lastPrinted>2015-10-20T13:19:00Z</cp:lastPrinted>
  <dcterms:created xsi:type="dcterms:W3CDTF">2015-11-05T08:55:00Z</dcterms:created>
  <dcterms:modified xsi:type="dcterms:W3CDTF">2015-11-05T09:32:00Z</dcterms:modified>
</cp:coreProperties>
</file>